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</w:t>
      </w:r>
      <w:bookmarkStart w:id="1" w:name="_Hlk114950769"/>
      <w:r>
        <w:rPr>
          <w:rFonts w:ascii="Trebuchet MS" w:eastAsiaTheme="minorHAnsi" w:hAnsi="Trebuchet MS" w:cs="Arial-BoldMT"/>
          <w:b/>
          <w:bCs/>
          <w:sz w:val="20"/>
          <w:szCs w:val="20"/>
        </w:rPr>
        <w:t>Integrarea durabilă pe piața muncii și creșterea nivelului de competențe al tinerilor NEETs”</w:t>
      </w:r>
      <w:bookmarkEnd w:id="1"/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Beneficiar: </w:t>
      </w:r>
      <w:bookmarkStart w:id="2" w:name="_Hlk114950814"/>
      <w:r>
        <w:rPr>
          <w:rFonts w:ascii="Trebuchet MS" w:eastAsiaTheme="minorHAnsi" w:hAnsi="Trebuchet MS" w:cs="Arial-BoldMT"/>
          <w:b/>
          <w:bCs/>
          <w:sz w:val="20"/>
          <w:szCs w:val="20"/>
        </w:rPr>
        <w:t>ASOCIATIA GRUP DE ACTIUNE LOCALA SUDUL GORJULUI</w:t>
      </w:r>
      <w:bookmarkEnd w:id="2"/>
    </w:p>
    <w:p w14:paraId="24AB9AB8" w14:textId="3CC8B85E" w:rsidR="002311C6" w:rsidRDefault="002311C6" w:rsidP="00DD56EE"/>
    <w:p w14:paraId="7B55C86F" w14:textId="24F745CF" w:rsidR="00DD56EE" w:rsidRDefault="00DD56EE" w:rsidP="00DD56EE"/>
    <w:p w14:paraId="5993730E" w14:textId="525C4D8D" w:rsidR="000B6687" w:rsidRDefault="000B6687" w:rsidP="000B668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ANEXA NR.</w:t>
      </w:r>
      <w:r w:rsidR="009C2927">
        <w:rPr>
          <w:rFonts w:ascii="Trebuchet MS" w:hAnsi="Trebuchet MS"/>
          <w:b/>
          <w:bCs/>
        </w:rPr>
        <w:t>7</w:t>
      </w:r>
    </w:p>
    <w:p w14:paraId="08B1D44E" w14:textId="77777777" w:rsidR="000B6687" w:rsidRDefault="000B6687" w:rsidP="000B6687">
      <w:pPr>
        <w:jc w:val="right"/>
        <w:rPr>
          <w:rFonts w:ascii="Trebuchet MS" w:hAnsi="Trebuchet MS"/>
          <w:b/>
          <w:bCs/>
        </w:rPr>
      </w:pPr>
    </w:p>
    <w:p w14:paraId="524FD070" w14:textId="27717463" w:rsidR="00DD56EE" w:rsidRDefault="009C2927" w:rsidP="00DD56EE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LISTA ORIENTATIVA A CHELTUIELILOR ELIGIBILE</w:t>
      </w:r>
    </w:p>
    <w:p w14:paraId="468AB9F4" w14:textId="039C5C7B" w:rsidR="009C2927" w:rsidRDefault="009C2927" w:rsidP="00DD56EE">
      <w:pPr>
        <w:autoSpaceDE w:val="0"/>
        <w:autoSpaceDN w:val="0"/>
        <w:adjustRightInd w:val="0"/>
        <w:jc w:val="center"/>
        <w:rPr>
          <w:rFonts w:ascii="Trebuchet MS" w:hAnsi="Trebuchet MS"/>
        </w:rPr>
      </w:pPr>
    </w:p>
    <w:p w14:paraId="209490A2" w14:textId="112CCF69" w:rsidR="009C2927" w:rsidRPr="00792B8F" w:rsidRDefault="00792B8F" w:rsidP="00792B8F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  <w:r w:rsidRPr="00792B8F">
        <w:rPr>
          <w:rFonts w:ascii="Trebuchet MS" w:hAnsi="Trebuchet MS"/>
          <w:b/>
          <w:bCs/>
        </w:rPr>
        <w:t>Schema de minimis NEET</w:t>
      </w:r>
      <w:r>
        <w:rPr>
          <w:rFonts w:ascii="Trebuchet MS" w:hAnsi="Trebuchet MS"/>
          <w:b/>
          <w:bCs/>
        </w:rPr>
        <w:t>S</w:t>
      </w:r>
      <w:r w:rsidRPr="00792B8F">
        <w:rPr>
          <w:rFonts w:ascii="Trebuchet MS" w:hAnsi="Trebuchet MS"/>
          <w:b/>
          <w:bCs/>
        </w:rPr>
        <w:t xml:space="preserve"> I</w:t>
      </w:r>
    </w:p>
    <w:p w14:paraId="3CAC1F11" w14:textId="77777777" w:rsidR="009C2927" w:rsidRPr="009C2927" w:rsidRDefault="009C2927" w:rsidP="009C2927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proofErr w:type="spellStart"/>
      <w:r w:rsidRPr="009C2927">
        <w:rPr>
          <w:rFonts w:ascii="Trebuchet MS" w:hAnsi="Trebuchet MS"/>
          <w:b/>
          <w:bCs/>
          <w:sz w:val="22"/>
          <w:szCs w:val="22"/>
          <w:lang w:val="it-IT"/>
        </w:rPr>
        <w:t>Capitolul</w:t>
      </w:r>
      <w:proofErr w:type="spellEnd"/>
      <w:r w:rsidRPr="009C2927">
        <w:rPr>
          <w:rFonts w:ascii="Trebuchet MS" w:hAnsi="Trebuchet MS"/>
          <w:b/>
          <w:bCs/>
          <w:sz w:val="22"/>
          <w:szCs w:val="22"/>
          <w:lang w:val="it-IT"/>
        </w:rPr>
        <w:t xml:space="preserve"> X </w:t>
      </w:r>
      <w:proofErr w:type="spellStart"/>
      <w:r w:rsidRPr="009C2927">
        <w:rPr>
          <w:rFonts w:ascii="Trebuchet MS" w:hAnsi="Trebuchet MS"/>
          <w:b/>
          <w:bCs/>
          <w:sz w:val="22"/>
          <w:szCs w:val="22"/>
          <w:lang w:val="it-IT"/>
        </w:rPr>
        <w:t>Cheltuieli</w:t>
      </w:r>
      <w:proofErr w:type="spellEnd"/>
      <w:r w:rsidRPr="009C2927">
        <w:rPr>
          <w:rFonts w:ascii="Trebuchet MS" w:hAnsi="Trebuchet MS"/>
          <w:b/>
          <w:bCs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/>
          <w:b/>
          <w:bCs/>
          <w:sz w:val="22"/>
          <w:szCs w:val="22"/>
          <w:lang w:val="it-IT"/>
        </w:rPr>
        <w:t>eligibile</w:t>
      </w:r>
      <w:proofErr w:type="spellEnd"/>
    </w:p>
    <w:p w14:paraId="2C171675" w14:textId="7F1DB25A" w:rsidR="009C2927" w:rsidRDefault="009C2927" w:rsidP="009C2927">
      <w:pPr>
        <w:autoSpaceDE w:val="0"/>
        <w:autoSpaceDN w:val="0"/>
        <w:adjustRightInd w:val="0"/>
        <w:jc w:val="both"/>
        <w:rPr>
          <w:rFonts w:ascii="Trebuchet MS" w:hAnsi="Trebuchet MS" w:cs="TimesNewRomanPSMT"/>
          <w:sz w:val="22"/>
          <w:szCs w:val="22"/>
          <w:lang w:val="it-IT"/>
        </w:rPr>
      </w:pPr>
      <w:r w:rsidRPr="009C2927">
        <w:rPr>
          <w:rFonts w:ascii="Trebuchet MS" w:hAnsi="Trebuchet MS"/>
          <w:b/>
          <w:bCs/>
          <w:sz w:val="22"/>
          <w:szCs w:val="22"/>
          <w:lang w:val="it-IT"/>
        </w:rPr>
        <w:t xml:space="preserve">Art. 14 </w:t>
      </w:r>
      <w:r w:rsidRPr="009C2927">
        <w:rPr>
          <w:rFonts w:ascii="Trebuchet MS" w:hAnsi="Trebuchet MS"/>
          <w:sz w:val="22"/>
          <w:szCs w:val="22"/>
          <w:lang w:val="it-IT"/>
        </w:rPr>
        <w:t xml:space="preserve">- </w:t>
      </w:r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Lista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privind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încadrarea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cheltuielilor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aferente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proiectului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în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categoriile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>/</w:t>
      </w:r>
      <w:proofErr w:type="spellStart"/>
      <w:r w:rsidRPr="009C2927">
        <w:rPr>
          <w:rFonts w:ascii="Trebuchet MS" w:hAnsi="Trebuchet MS" w:cs="TimesNewRomanPSMT"/>
          <w:sz w:val="22"/>
          <w:szCs w:val="22"/>
          <w:lang w:val="it-IT"/>
        </w:rPr>
        <w:t>subcategoriile</w:t>
      </w:r>
      <w:proofErr w:type="spellEnd"/>
      <w:r w:rsidRPr="009C2927">
        <w:rPr>
          <w:rFonts w:ascii="Trebuchet MS" w:hAnsi="Trebuchet MS" w:cs="TimesNewRomanPSMT"/>
          <w:sz w:val="22"/>
          <w:szCs w:val="22"/>
          <w:lang w:val="it-IT"/>
        </w:rPr>
        <w:t xml:space="preserve"> de</w:t>
      </w:r>
      <w:r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792B8F">
        <w:rPr>
          <w:rFonts w:ascii="Trebuchet MS" w:hAnsi="Trebuchet MS" w:cs="TimesNewRomanPSMT"/>
          <w:sz w:val="22"/>
          <w:szCs w:val="22"/>
          <w:lang w:val="it-IT"/>
        </w:rPr>
        <w:t>cheltuieli</w:t>
      </w:r>
      <w:proofErr w:type="spellEnd"/>
      <w:r w:rsidRPr="00792B8F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792B8F">
        <w:rPr>
          <w:rFonts w:ascii="Trebuchet MS" w:hAnsi="Trebuchet MS" w:cs="TimesNewRomanPSMT"/>
          <w:sz w:val="22"/>
          <w:szCs w:val="22"/>
          <w:lang w:val="it-IT"/>
        </w:rPr>
        <w:t>conform</w:t>
      </w:r>
      <w:proofErr w:type="spellEnd"/>
      <w:r w:rsidRPr="00792B8F">
        <w:rPr>
          <w:rFonts w:ascii="Trebuchet MS" w:hAnsi="Trebuchet MS" w:cs="TimesNewRomanPSMT"/>
          <w:sz w:val="22"/>
          <w:szCs w:val="22"/>
          <w:lang w:val="it-IT"/>
        </w:rPr>
        <w:t xml:space="preserve"> </w:t>
      </w:r>
      <w:proofErr w:type="spellStart"/>
      <w:r w:rsidRPr="00792B8F">
        <w:rPr>
          <w:rFonts w:ascii="Trebuchet MS" w:hAnsi="Trebuchet MS" w:cs="TimesNewRomanPSMT"/>
          <w:sz w:val="22"/>
          <w:szCs w:val="22"/>
          <w:lang w:val="it-IT"/>
        </w:rPr>
        <w:t>MySMIS</w:t>
      </w:r>
      <w:proofErr w:type="spellEnd"/>
      <w:r w:rsidRPr="00792B8F">
        <w:rPr>
          <w:rFonts w:ascii="Trebuchet MS" w:hAnsi="Trebuchet MS" w:cs="TimesNewRomanPSMT"/>
          <w:sz w:val="22"/>
          <w:szCs w:val="22"/>
          <w:lang w:val="it-IT"/>
        </w:rPr>
        <w:t xml:space="preserve"> este </w:t>
      </w:r>
      <w:proofErr w:type="spellStart"/>
      <w:r w:rsidRPr="00792B8F">
        <w:rPr>
          <w:rFonts w:ascii="Trebuchet MS" w:hAnsi="Trebuchet MS" w:cs="TimesNewRomanPSMT"/>
          <w:sz w:val="22"/>
          <w:szCs w:val="22"/>
          <w:lang w:val="it-IT"/>
        </w:rPr>
        <w:t>următoarea</w:t>
      </w:r>
      <w:proofErr w:type="spellEnd"/>
      <w:r w:rsidRPr="00792B8F">
        <w:rPr>
          <w:rFonts w:ascii="Trebuchet MS" w:hAnsi="Trebuchet MS" w:cs="TimesNewRomanPSMT"/>
          <w:sz w:val="22"/>
          <w:szCs w:val="22"/>
          <w:lang w:val="it-IT"/>
        </w:rPr>
        <w:t xml:space="preserve">: </w:t>
      </w:r>
    </w:p>
    <w:p w14:paraId="31502447" w14:textId="6A8C7BC0" w:rsidR="00792B8F" w:rsidRDefault="00792B8F" w:rsidP="009C2927">
      <w:pPr>
        <w:autoSpaceDE w:val="0"/>
        <w:autoSpaceDN w:val="0"/>
        <w:adjustRightInd w:val="0"/>
        <w:jc w:val="both"/>
        <w:rPr>
          <w:rFonts w:ascii="Trebuchet MS" w:hAnsi="Trebuchet MS" w:cs="TimesNewRomanPSMT"/>
          <w:sz w:val="22"/>
          <w:szCs w:val="22"/>
          <w:lang w:val="it-I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2881"/>
        <w:gridCol w:w="4684"/>
      </w:tblGrid>
      <w:tr w:rsidR="009F1951" w:rsidRPr="009F1951" w14:paraId="1F6DC8AD" w14:textId="77777777" w:rsidTr="00350409">
        <w:trPr>
          <w:tblHeader/>
        </w:trPr>
        <w:tc>
          <w:tcPr>
            <w:tcW w:w="1072" w:type="pct"/>
          </w:tcPr>
          <w:p w14:paraId="0A7DC749" w14:textId="38BA9417" w:rsidR="009F1951" w:rsidRPr="009F1951" w:rsidRDefault="009F1951" w:rsidP="009C292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F1951">
              <w:rPr>
                <w:rFonts w:ascii="Trebuchet MS" w:hAnsi="Trebuchet MS"/>
                <w:b/>
                <w:bCs/>
                <w:sz w:val="20"/>
                <w:szCs w:val="20"/>
              </w:rPr>
              <w:t>Categorie MySMIS</w:t>
            </w:r>
          </w:p>
        </w:tc>
        <w:tc>
          <w:tcPr>
            <w:tcW w:w="1496" w:type="pct"/>
          </w:tcPr>
          <w:p w14:paraId="1652F990" w14:textId="6B7A3A53" w:rsidR="009F1951" w:rsidRPr="009F1951" w:rsidRDefault="009F1951" w:rsidP="009C292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F1951">
              <w:rPr>
                <w:rFonts w:ascii="Trebuchet MS" w:hAnsi="Trebuchet MS"/>
                <w:b/>
                <w:bCs/>
                <w:sz w:val="20"/>
                <w:szCs w:val="20"/>
              </w:rPr>
              <w:t>Subcategorie MySMIS</w:t>
            </w:r>
          </w:p>
        </w:tc>
        <w:tc>
          <w:tcPr>
            <w:tcW w:w="2432" w:type="pct"/>
          </w:tcPr>
          <w:p w14:paraId="083CCC14" w14:textId="1C2873C7" w:rsidR="009F1951" w:rsidRPr="009F1951" w:rsidRDefault="009F1951" w:rsidP="009C292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F1951">
              <w:rPr>
                <w:rFonts w:ascii="Trebuchet MS" w:hAnsi="Trebuchet MS"/>
                <w:b/>
                <w:bCs/>
                <w:sz w:val="20"/>
                <w:szCs w:val="20"/>
              </w:rPr>
              <w:t>Descrierea cheltuielii</w:t>
            </w:r>
          </w:p>
        </w:tc>
      </w:tr>
      <w:tr w:rsidR="009F1951" w:rsidRPr="009F1951" w14:paraId="6C8545DD" w14:textId="77777777" w:rsidTr="00350409">
        <w:tc>
          <w:tcPr>
            <w:tcW w:w="1072" w:type="pct"/>
          </w:tcPr>
          <w:p w14:paraId="677AD7D7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11-Cheltuieli</w:t>
            </w:r>
          </w:p>
          <w:p w14:paraId="0A06AF3F" w14:textId="42A0296E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cu taxe/</w:t>
            </w:r>
            <w:r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abonamente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/</w:t>
            </w:r>
          </w:p>
          <w:p w14:paraId="1A43C438" w14:textId="4AB9DC4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cotizații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/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acorduri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/</w:t>
            </w:r>
          </w:p>
          <w:p w14:paraId="78A6AC3F" w14:textId="77C30FF1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autorizații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necesare</w:t>
            </w:r>
            <w:proofErr w:type="spellEnd"/>
          </w:p>
          <w:p w14:paraId="69990E27" w14:textId="61DEFD16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>implementare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>proiectului</w:t>
            </w:r>
            <w:proofErr w:type="spellEnd"/>
          </w:p>
        </w:tc>
        <w:tc>
          <w:tcPr>
            <w:tcW w:w="1496" w:type="pct"/>
          </w:tcPr>
          <w:p w14:paraId="3EE2B427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32-Cheltuieli cu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taxe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/</w:t>
            </w:r>
          </w:p>
          <w:p w14:paraId="1A261423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abonamente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cotizații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/</w:t>
            </w:r>
          </w:p>
          <w:p w14:paraId="41DF3FA2" w14:textId="540BA1EA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acorduri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autorizații</w:t>
            </w:r>
            <w:proofErr w:type="spellEnd"/>
          </w:p>
          <w:p w14:paraId="2FC0E7EE" w14:textId="3D62A87A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necesare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>implementarea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>proiectului</w:t>
            </w:r>
            <w:proofErr w:type="spellEnd"/>
          </w:p>
        </w:tc>
        <w:tc>
          <w:tcPr>
            <w:tcW w:w="2432" w:type="pct"/>
          </w:tcPr>
          <w:p w14:paraId="168E4F4F" w14:textId="2378BF8C" w:rsidR="009F1951" w:rsidRPr="009F1951" w:rsidRDefault="009F1951" w:rsidP="009C292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 xml:space="preserve">Taxe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pentru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înființarea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 xml:space="preserve"> de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pt-PT"/>
              </w:rPr>
              <w:t>întreprinderi</w:t>
            </w:r>
            <w:proofErr w:type="spellEnd"/>
          </w:p>
        </w:tc>
      </w:tr>
      <w:tr w:rsidR="009F1951" w:rsidRPr="009F1951" w14:paraId="61418B57" w14:textId="77777777" w:rsidTr="00350409">
        <w:tc>
          <w:tcPr>
            <w:tcW w:w="1072" w:type="pct"/>
          </w:tcPr>
          <w:p w14:paraId="7F662B89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26-Cheltuieli</w:t>
            </w:r>
          </w:p>
          <w:p w14:paraId="0DA130F1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cu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subvenții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/</w:t>
            </w:r>
          </w:p>
          <w:p w14:paraId="7BDF3EED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burse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premii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/</w:t>
            </w:r>
          </w:p>
          <w:p w14:paraId="361F4004" w14:textId="3E7DFED6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en-US"/>
              </w:rPr>
              <w:t>ajutoare</w:t>
            </w:r>
            <w:proofErr w:type="spellEnd"/>
          </w:p>
        </w:tc>
        <w:tc>
          <w:tcPr>
            <w:tcW w:w="1496" w:type="pct"/>
          </w:tcPr>
          <w:p w14:paraId="647FAF61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159-Subvenții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</w:p>
          <w:p w14:paraId="11781434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înființarea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unei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afaceri</w:t>
            </w:r>
            <w:proofErr w:type="spellEnd"/>
          </w:p>
          <w:p w14:paraId="67E7B90F" w14:textId="3C2C5F79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(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antreprenoriat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2432" w:type="pct"/>
          </w:tcPr>
          <w:p w14:paraId="7CD510E7" w14:textId="13C02B45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1.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salariile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personalului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nou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angajat</w:t>
            </w:r>
            <w:proofErr w:type="spellEnd"/>
          </w:p>
          <w:p w14:paraId="53DF53B4" w14:textId="77777777" w:rsid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1.1.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salariale</w:t>
            </w:r>
          </w:p>
          <w:p w14:paraId="24B48808" w14:textId="60AD65E2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1.2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Venituri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asimilate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salariilor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experți</w:t>
            </w:r>
            <w:proofErr w:type="spellEnd"/>
            <w:proofErr w:type="gram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proprii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cooptați</w:t>
            </w:r>
            <w:proofErr w:type="spellEnd"/>
          </w:p>
          <w:p w14:paraId="3CD989CA" w14:textId="77777777" w:rsidR="009F1951" w:rsidRPr="009F1951" w:rsidRDefault="009F1951" w:rsidP="009F195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1.3.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Contribuții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sociale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cheltuielilor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salariale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cheltuielilor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asimilate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acestora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(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contribuții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angajați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angajatori</w:t>
            </w:r>
            <w:proofErr w:type="spellEnd"/>
            <w:r w:rsidRPr="009F1951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  <w:p w14:paraId="25876705" w14:textId="244FCC89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2.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deplasarea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personalului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sprijinite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:</w:t>
            </w:r>
          </w:p>
          <w:p w14:paraId="5687E748" w14:textId="77777777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2.1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cazare</w:t>
            </w:r>
            <w:proofErr w:type="spellEnd"/>
          </w:p>
          <w:p w14:paraId="36C0A566" w14:textId="77777777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2.2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cu diurna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personalului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propriu</w:t>
            </w:r>
            <w:proofErr w:type="spellEnd"/>
          </w:p>
          <w:p w14:paraId="4C6A59D5" w14:textId="00FE9F66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2.3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transportul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persoanelor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(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inclusiv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transportul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efectuat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mijloacele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transport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comun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sau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taxi,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gară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,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autogară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sau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port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locul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delegării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ori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locul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cazare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precum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transportul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efectuat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pe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distanța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dintre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locul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cazare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locul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delegării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  <w:p w14:paraId="08E2D27F" w14:textId="010FC9ED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2.4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Taxe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asigurări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călătorie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asigurări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medicale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deplasării</w:t>
            </w:r>
            <w:proofErr w:type="spellEnd"/>
          </w:p>
          <w:p w14:paraId="5E0B3AE4" w14:textId="4CF505C9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3.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diverselor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achiziții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servicii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specializate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care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beneficiarul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ajutorului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minimis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nu are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expertiza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necesară</w:t>
            </w:r>
            <w:proofErr w:type="spellEnd"/>
          </w:p>
          <w:p w14:paraId="6AC7E21E" w14:textId="15F61031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4.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achiziția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active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fixe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corporale (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altele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decât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terenuri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imobile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),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obiecte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lastRenderedPageBreak/>
              <w:t xml:space="preserve">inventar,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materii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prime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materiale,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inclusiv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materiale consumabile,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alte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investiții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necesare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35C3DAA1" w14:textId="170A0616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5.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închirierea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sedii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inclusiv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depozite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),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spații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desfășurarea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diverselor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activități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,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echipamente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vehicule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diverse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bunuri</w:t>
            </w:r>
            <w:proofErr w:type="spellEnd"/>
          </w:p>
          <w:p w14:paraId="6B4B1EE6" w14:textId="60C5EC65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6.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leasing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fără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achiziție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(leasing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operațional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(rate de leasing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operațional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plătite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echipamente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,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vehicule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diverse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bunuri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mobile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imobile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  <w:p w14:paraId="1C88E959" w14:textId="4AF14418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7.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Utilități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232D705D" w14:textId="14BE0135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8.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Servicii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administrare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clădirilor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64CD97BB" w14:textId="7F11C268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9.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Servicii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întreținere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reparare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echipamente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mijloace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transport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21D3064B" w14:textId="512050D4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10.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Arhivare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documente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560E2011" w14:textId="58C42807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11.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Amortizare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active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17A31793" w14:textId="5EDF68D8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12.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financiare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juridice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(notariale)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</w:p>
          <w:p w14:paraId="66CC30DA" w14:textId="77777777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031CC02D" w14:textId="38794C2E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13.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Conectare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la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rețele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informatice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408E8F3B" w14:textId="75624158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14.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de informare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publicitate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4A0D71A6" w14:textId="07AB3BD3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15. Alte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cheltuieli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funcționării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întreprinderilor</w:t>
            </w:r>
            <w:proofErr w:type="spellEnd"/>
          </w:p>
          <w:p w14:paraId="00CDD3D0" w14:textId="77777777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15.1.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Prelucrare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de date</w:t>
            </w:r>
          </w:p>
          <w:p w14:paraId="536D5A42" w14:textId="77777777" w:rsidR="009F1951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15.2.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Întreținere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actualizare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dezvoltare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aplicații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informatice</w:t>
            </w:r>
            <w:proofErr w:type="spellEnd"/>
          </w:p>
          <w:p w14:paraId="4D1AA10E" w14:textId="2C3F719B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15.3.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Achiziționare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publicații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cărți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,</w:t>
            </w:r>
            <w:r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reviste 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specialitate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relevante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operațiune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în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format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tipărit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/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sau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>electronic</w:t>
            </w:r>
            <w:proofErr w:type="spellEnd"/>
          </w:p>
          <w:p w14:paraId="7852B426" w14:textId="3531A2AD" w:rsidR="00350409" w:rsidRPr="00350409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pt-PT"/>
              </w:rPr>
              <w:t xml:space="preserve">15.4.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Concesiuni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brevete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licențe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mărci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comerciale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drepturi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și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>active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it-IT"/>
              </w:rPr>
              <w:t xml:space="preserve"> similare</w:t>
            </w:r>
          </w:p>
          <w:p w14:paraId="3FB36BF6" w14:textId="7F223DE4" w:rsidR="00350409" w:rsidRPr="009F1951" w:rsidRDefault="00350409" w:rsidP="0035040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16.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Cheltuielile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aferente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garanțiilor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oferite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bănci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sau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alte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instituții</w:t>
            </w:r>
            <w:proofErr w:type="spellEnd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0409">
              <w:rPr>
                <w:rFonts w:ascii="Trebuchet MS" w:hAnsi="Trebuchet MS"/>
                <w:sz w:val="20"/>
                <w:szCs w:val="20"/>
                <w:lang w:val="en-US"/>
              </w:rPr>
              <w:t>financiare</w:t>
            </w:r>
            <w:proofErr w:type="spellEnd"/>
          </w:p>
        </w:tc>
      </w:tr>
    </w:tbl>
    <w:p w14:paraId="2A746B4A" w14:textId="77777777" w:rsidR="00792B8F" w:rsidRPr="009C2927" w:rsidRDefault="00792B8F" w:rsidP="009C2927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sectPr w:rsidR="00792B8F" w:rsidRPr="009C2927" w:rsidSect="003F516C">
      <w:headerReference w:type="default" r:id="rId7"/>
      <w:footerReference w:type="even" r:id="rId8"/>
      <w:footerReference w:type="default" r:id="rId9"/>
      <w:pgSz w:w="11909" w:h="16834" w:code="9"/>
      <w:pgMar w:top="851" w:right="851" w:bottom="851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F634" w14:textId="77777777" w:rsidR="006E54A7" w:rsidRDefault="006E54A7">
      <w:r>
        <w:separator/>
      </w:r>
    </w:p>
  </w:endnote>
  <w:endnote w:type="continuationSeparator" w:id="0">
    <w:p w14:paraId="6E743EC7" w14:textId="77777777" w:rsidR="006E54A7" w:rsidRDefault="006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2B45D71C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9F59" w14:textId="77777777" w:rsidR="006E54A7" w:rsidRDefault="006E54A7">
      <w:r>
        <w:separator/>
      </w:r>
    </w:p>
  </w:footnote>
  <w:footnote w:type="continuationSeparator" w:id="0">
    <w:p w14:paraId="467509CD" w14:textId="77777777" w:rsidR="006E54A7" w:rsidRDefault="006E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5235">
    <w:abstractNumId w:val="11"/>
  </w:num>
  <w:num w:numId="2" w16cid:durableId="999508320">
    <w:abstractNumId w:val="8"/>
  </w:num>
  <w:num w:numId="3" w16cid:durableId="1178084727">
    <w:abstractNumId w:val="7"/>
  </w:num>
  <w:num w:numId="4" w16cid:durableId="657458311">
    <w:abstractNumId w:val="0"/>
  </w:num>
  <w:num w:numId="5" w16cid:durableId="562907042">
    <w:abstractNumId w:val="3"/>
  </w:num>
  <w:num w:numId="6" w16cid:durableId="1480074862">
    <w:abstractNumId w:val="5"/>
  </w:num>
  <w:num w:numId="7" w16cid:durableId="1730037358">
    <w:abstractNumId w:val="2"/>
  </w:num>
  <w:num w:numId="8" w16cid:durableId="119300414">
    <w:abstractNumId w:val="12"/>
  </w:num>
  <w:num w:numId="9" w16cid:durableId="1820490508">
    <w:abstractNumId w:val="1"/>
  </w:num>
  <w:num w:numId="10" w16cid:durableId="462624315">
    <w:abstractNumId w:val="9"/>
  </w:num>
  <w:num w:numId="11" w16cid:durableId="1216627011">
    <w:abstractNumId w:val="10"/>
  </w:num>
  <w:num w:numId="12" w16cid:durableId="4405037">
    <w:abstractNumId w:val="6"/>
  </w:num>
  <w:num w:numId="13" w16cid:durableId="611321727">
    <w:abstractNumId w:val="4"/>
  </w:num>
  <w:num w:numId="14" w16cid:durableId="198955597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5986"/>
    <w:rsid w:val="000267DC"/>
    <w:rsid w:val="0003053A"/>
    <w:rsid w:val="0003146D"/>
    <w:rsid w:val="00036169"/>
    <w:rsid w:val="00037BA1"/>
    <w:rsid w:val="000404A0"/>
    <w:rsid w:val="00043AE1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B6687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633F"/>
    <w:rsid w:val="00117799"/>
    <w:rsid w:val="00120880"/>
    <w:rsid w:val="00122B3E"/>
    <w:rsid w:val="00124C38"/>
    <w:rsid w:val="00130A2F"/>
    <w:rsid w:val="00131225"/>
    <w:rsid w:val="00171240"/>
    <w:rsid w:val="0017370A"/>
    <w:rsid w:val="001848F9"/>
    <w:rsid w:val="001858E6"/>
    <w:rsid w:val="001A0D63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0409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67BE"/>
    <w:rsid w:val="00626B3D"/>
    <w:rsid w:val="00631DC4"/>
    <w:rsid w:val="006446F6"/>
    <w:rsid w:val="006474F1"/>
    <w:rsid w:val="0065115A"/>
    <w:rsid w:val="006552FC"/>
    <w:rsid w:val="0066233D"/>
    <w:rsid w:val="00664187"/>
    <w:rsid w:val="00670B4E"/>
    <w:rsid w:val="006736A3"/>
    <w:rsid w:val="00677528"/>
    <w:rsid w:val="00682F0D"/>
    <w:rsid w:val="00685A53"/>
    <w:rsid w:val="00690ADE"/>
    <w:rsid w:val="00693902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54A7"/>
    <w:rsid w:val="006E6FB0"/>
    <w:rsid w:val="006E6FBF"/>
    <w:rsid w:val="006E7FA8"/>
    <w:rsid w:val="00702765"/>
    <w:rsid w:val="00713719"/>
    <w:rsid w:val="00716C04"/>
    <w:rsid w:val="00717DA9"/>
    <w:rsid w:val="00723A70"/>
    <w:rsid w:val="007266EE"/>
    <w:rsid w:val="00733224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B8F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60C6E"/>
    <w:rsid w:val="00862AA4"/>
    <w:rsid w:val="0086493D"/>
    <w:rsid w:val="00867FA5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43AF6"/>
    <w:rsid w:val="00950300"/>
    <w:rsid w:val="00950D16"/>
    <w:rsid w:val="009537CE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2927"/>
    <w:rsid w:val="009C303C"/>
    <w:rsid w:val="009C3ABF"/>
    <w:rsid w:val="009C7F49"/>
    <w:rsid w:val="009D0C6A"/>
    <w:rsid w:val="009D32EA"/>
    <w:rsid w:val="009D66D3"/>
    <w:rsid w:val="009E136B"/>
    <w:rsid w:val="009F0862"/>
    <w:rsid w:val="009F1951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775F7"/>
    <w:rsid w:val="00B924CC"/>
    <w:rsid w:val="00B92CEE"/>
    <w:rsid w:val="00B94F15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E06"/>
    <w:rsid w:val="00ED4002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185A"/>
    <w:rsid w:val="00F60942"/>
    <w:rsid w:val="00F713C0"/>
    <w:rsid w:val="00F724C4"/>
    <w:rsid w:val="00F729F7"/>
    <w:rsid w:val="00F73A16"/>
    <w:rsid w:val="00F85B7D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2</cp:revision>
  <cp:lastPrinted>2017-07-25T12:02:00Z</cp:lastPrinted>
  <dcterms:created xsi:type="dcterms:W3CDTF">2022-09-25T07:57:00Z</dcterms:created>
  <dcterms:modified xsi:type="dcterms:W3CDTF">2022-09-25T07:57:00Z</dcterms:modified>
</cp:coreProperties>
</file>